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1640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1037590</wp:posOffset>
            </wp:positionH>
            <wp:positionV relativeFrom="page">
              <wp:posOffset>445135</wp:posOffset>
            </wp:positionV>
            <wp:extent cx="433070" cy="1116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Страховые организации, входящие в Союз «Единое объединение страховщиков агропромышленного комплекса - Национальный союз агростраховщиков»</w:t>
      </w:r>
    </w:p>
    <w:p>
      <w:pPr>
        <w:sectPr>
          <w:pgSz w:w="11900" w:h="16837" w:orient="portrait"/>
          <w:cols w:equalWidth="0" w:num="1">
            <w:col w:w="9760"/>
          </w:cols>
          <w:pgMar w:left="1440" w:top="1115" w:right="706" w:bottom="49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1740" w:hanging="1412"/>
        <w:spacing w:after="0"/>
        <w:tabs>
          <w:tab w:leader="none" w:pos="174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Наименование страховой организации</w:t>
      </w:r>
    </w:p>
    <w:p>
      <w:pPr>
        <w:ind w:left="2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п/п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полное/сокращенное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-347345</wp:posOffset>
            </wp:positionV>
            <wp:extent cx="6223000" cy="77876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778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 «Страховая группа</w:t>
      </w:r>
    </w:p>
    <w:p>
      <w:pPr>
        <w:ind w:left="260"/>
        <w:spacing w:after="0" w:line="234" w:lineRule="auto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АВАНГАРД-ГАРАНТ»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«Страховая группа АВАНГАРД-ГАРАНТ»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1500" w:hanging="1232"/>
        <w:spacing w:after="0"/>
        <w:tabs>
          <w:tab w:leader="none" w:pos="1500" w:val="left"/>
        </w:tabs>
        <w:numPr>
          <w:ilvl w:val="0"/>
          <w:numId w:val="2"/>
        </w:numPr>
        <w:rPr>
          <w:rFonts w:ascii="Arial" w:cs="Arial" w:eastAsia="Arial" w:hAnsi="Arial"/>
          <w:sz w:val="48"/>
          <w:szCs w:val="48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 «АльфаСтрахование»</w:t>
      </w:r>
    </w:p>
    <w:p>
      <w:pPr>
        <w:ind w:left="2460"/>
        <w:spacing w:after="0"/>
        <w:rPr>
          <w:rFonts w:ascii="Arial" w:cs="Arial" w:eastAsia="Arial" w:hAnsi="Arial"/>
          <w:sz w:val="48"/>
          <w:szCs w:val="48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«АльфаСтрахование»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00" w:type="dxa"/>
            <w:vAlign w:val="bottom"/>
          </w:tcPr>
          <w:p>
            <w:pPr>
              <w:jc w:val="center"/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Общество с ограниченной ответственностью «Страховое</w:t>
            </w:r>
          </w:p>
        </w:tc>
      </w:tr>
      <w:tr>
        <w:trPr>
          <w:trHeight w:val="270"/>
        </w:trPr>
        <w:tc>
          <w:tcPr>
            <w:tcW w:w="420" w:type="dxa"/>
            <w:vAlign w:val="bottom"/>
          </w:tcPr>
          <w:p>
            <w:pPr>
              <w:jc w:val="right"/>
              <w:ind w:right="1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79"/>
              </w:rPr>
              <w:t>3.</w:t>
            </w:r>
          </w:p>
        </w:tc>
        <w:tc>
          <w:tcPr>
            <w:tcW w:w="6100" w:type="dxa"/>
            <w:vAlign w:val="bottom"/>
          </w:tcPr>
          <w:p>
            <w:pPr>
              <w:jc w:val="center"/>
              <w:ind w:left="1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общество «Верна»</w:t>
            </w:r>
          </w:p>
        </w:tc>
      </w:tr>
    </w:tbl>
    <w:p>
      <w:pPr>
        <w:ind w:left="3440" w:hanging="618"/>
        <w:spacing w:after="0"/>
        <w:tabs>
          <w:tab w:leader="none" w:pos="3440" w:val="left"/>
        </w:tabs>
        <w:numPr>
          <w:ilvl w:val="1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«СО «Верна»</w:t>
      </w:r>
    </w:p>
    <w:p>
      <w:pPr>
        <w:spacing w:after="0" w:line="37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720" w:hanging="1452"/>
        <w:spacing w:after="0" w:line="222" w:lineRule="auto"/>
        <w:tabs>
          <w:tab w:leader="none" w:pos="1720" w:val="left"/>
        </w:tabs>
        <w:numPr>
          <w:ilvl w:val="0"/>
          <w:numId w:val="3"/>
        </w:numPr>
        <w:rPr>
          <w:rFonts w:ascii="Arial" w:cs="Arial" w:eastAsia="Arial" w:hAnsi="Arial"/>
          <w:sz w:val="48"/>
          <w:szCs w:val="48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color w:val="auto"/>
        </w:rPr>
        <w:t>Страховое акционерное общество «ВСК»</w:t>
      </w:r>
    </w:p>
    <w:p>
      <w:pPr>
        <w:spacing w:after="0" w:line="1" w:lineRule="exact"/>
        <w:rPr>
          <w:rFonts w:ascii="Arial" w:cs="Arial" w:eastAsia="Arial" w:hAnsi="Arial"/>
          <w:sz w:val="48"/>
          <w:szCs w:val="48"/>
          <w:color w:val="auto"/>
          <w:vertAlign w:val="subscript"/>
        </w:rPr>
      </w:pPr>
    </w:p>
    <w:p>
      <w:pPr>
        <w:ind w:left="3180"/>
        <w:spacing w:after="0"/>
        <w:rPr>
          <w:rFonts w:ascii="Arial" w:cs="Arial" w:eastAsia="Arial" w:hAnsi="Arial"/>
          <w:sz w:val="48"/>
          <w:szCs w:val="48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САО «ВСК»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</w:t>
      </w:r>
    </w:p>
    <w:p>
      <w:pPr>
        <w:ind w:left="1380" w:hanging="1112"/>
        <w:spacing w:after="0"/>
        <w:tabs>
          <w:tab w:leader="none" w:pos="1380" w:val="left"/>
        </w:tabs>
        <w:numPr>
          <w:ilvl w:val="0"/>
          <w:numId w:val="4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«Московская акционерная страховая компания»</w:t>
      </w:r>
    </w:p>
    <w:p>
      <w:pPr>
        <w:spacing w:after="0" w:line="5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3140"/>
        <w:spacing w:after="0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«МАКС»</w:t>
      </w:r>
    </w:p>
    <w:p>
      <w:pPr>
        <w:spacing w:after="0" w:line="55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1140" w:hanging="872"/>
        <w:spacing w:after="0"/>
        <w:tabs>
          <w:tab w:leader="none" w:pos="1140" w:val="left"/>
        </w:tabs>
        <w:numPr>
          <w:ilvl w:val="0"/>
          <w:numId w:val="4"/>
        </w:numPr>
        <w:rPr>
          <w:rFonts w:ascii="Arial" w:cs="Arial" w:eastAsia="Arial" w:hAnsi="Arial"/>
          <w:sz w:val="43"/>
          <w:szCs w:val="43"/>
          <w:color w:val="auto"/>
          <w:vertAlign w:val="subscript"/>
        </w:rPr>
      </w:pPr>
      <w:r>
        <w:rPr>
          <w:rFonts w:ascii="Arial" w:cs="Arial" w:eastAsia="Arial" w:hAnsi="Arial"/>
          <w:sz w:val="22"/>
          <w:szCs w:val="22"/>
          <w:color w:val="auto"/>
        </w:rPr>
        <w:t>Страховое акционерное общество «РЕСО-Гарантия»</w:t>
      </w:r>
    </w:p>
    <w:p>
      <w:pPr>
        <w:ind w:left="2540"/>
        <w:spacing w:after="0"/>
        <w:rPr>
          <w:rFonts w:ascii="Arial" w:cs="Arial" w:eastAsia="Arial" w:hAnsi="Arial"/>
          <w:sz w:val="43"/>
          <w:szCs w:val="43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САО «РЕСО-Гарантия»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Публичное акционерное общество Страховая</w:t>
      </w:r>
    </w:p>
    <w:p>
      <w:pPr>
        <w:ind w:left="260"/>
        <w:spacing w:after="0" w:line="234" w:lineRule="auto"/>
        <w:tabs>
          <w:tab w:leader="none" w:pos="2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Компания «Росгосстрах»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ПАО СК «Росгосстрах»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</w:t>
      </w:r>
    </w:p>
    <w:p>
      <w:pPr>
        <w:ind w:left="1580" w:hanging="1312"/>
        <w:spacing w:after="0" w:line="234" w:lineRule="auto"/>
        <w:tabs>
          <w:tab w:leader="none" w:pos="158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«Страховая компания «РСХБ-Страхование»</w:t>
      </w:r>
    </w:p>
    <w:p>
      <w:pPr>
        <w:ind w:left="224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СК «РСХБ-Страхование»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</w:t>
      </w:r>
    </w:p>
    <w:p>
      <w:pPr>
        <w:ind w:left="1320" w:hanging="1052"/>
        <w:spacing w:after="0"/>
        <w:tabs>
          <w:tab w:leader="none" w:pos="1320" w:val="left"/>
        </w:tabs>
        <w:numPr>
          <w:ilvl w:val="0"/>
          <w:numId w:val="6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«Страховое общество газовой промышленности»</w:t>
      </w:r>
    </w:p>
    <w:p>
      <w:pPr>
        <w:spacing w:after="0" w:line="5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3120"/>
        <w:spacing w:after="0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«СОГАЗ»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Общество с ограниченной ответственностью «Страховая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2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10.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Компания «Согласие»</w:t>
      </w: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ООО «СК «Согласие»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Акционерное общество «Страховое общество</w:t>
      </w:r>
    </w:p>
    <w:p>
      <w:pPr>
        <w:ind w:left="260"/>
        <w:spacing w:after="0" w:line="234" w:lineRule="auto"/>
        <w:tabs>
          <w:tab w:leader="none" w:pos="3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«Талисман»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АО «СО «Талисман»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Публичное акционерное общество</w:t>
      </w:r>
    </w:p>
    <w:p>
      <w:pPr>
        <w:ind w:left="1200" w:hanging="932"/>
        <w:spacing w:after="0"/>
        <w:tabs>
          <w:tab w:leader="none" w:pos="1200" w:val="left"/>
        </w:tabs>
        <w:numPr>
          <w:ilvl w:val="0"/>
          <w:numId w:val="7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«Страховая акционерная компания «Энергогарант»</w:t>
      </w:r>
    </w:p>
    <w:p>
      <w:pPr>
        <w:spacing w:after="0" w:line="5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2320"/>
        <w:spacing w:after="0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ПАО «САК «Энергогарант»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jc w:val="center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Регистрационный номер ЦБ РФ</w:t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0796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2239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3245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0621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1427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1209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0001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2947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1208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1307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1587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1834</w:t>
      </w:r>
    </w:p>
    <w:p>
      <w:pPr>
        <w:spacing w:after="0" w:line="469" w:lineRule="exact"/>
        <w:rPr>
          <w:sz w:val="24"/>
          <w:szCs w:val="24"/>
          <w:color w:val="auto"/>
        </w:rPr>
      </w:pPr>
    </w:p>
    <w:p>
      <w:pPr>
        <w:sectPr>
          <w:pgSz w:w="11900" w:h="16837" w:orient="portrait"/>
          <w:cols w:equalWidth="0" w:num="2">
            <w:col w:w="6780" w:space="280"/>
            <w:col w:w="2700"/>
          </w:cols>
          <w:pgMar w:left="1440" w:top="1115" w:right="706" w:bottom="495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9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</w:t>
      </w:r>
    </w:p>
    <w:p>
      <w:pPr>
        <w:sectPr>
          <w:pgSz w:w="11900" w:h="16837" w:orient="portrait"/>
          <w:cols w:equalWidth="0" w:num="1">
            <w:col w:w="9760"/>
          </w:cols>
          <w:pgMar w:left="1440" w:top="1115" w:right="706" w:bottom="495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№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Наименование страховой организации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0"/>
              </w:rPr>
              <w:t>Регистрационный номер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jc w:val="right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5"/>
              </w:rPr>
              <w:t>п/п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полное/сокращенное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4"/>
              </w:rPr>
              <w:t>ЦБ РФ</w:t>
            </w:r>
          </w:p>
        </w:tc>
      </w:tr>
      <w:tr>
        <w:trPr>
          <w:trHeight w:val="31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Общество с ограниченной ответственностью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13.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0"/>
              </w:rPr>
              <w:t>Страховая компания «Сбербанк Страхование»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4331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ООО СК «Сбербанк страхование»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Общество с ограниченной ответственностью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14.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5"/>
              </w:rPr>
              <w:t>«РУССКОЕ СТРАХОВОЕ ОБЩЕСТВО «ЕВРОИНС»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3954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>ООО РСО «ЕВРОИНС»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Общество с ограниченной ответственностью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15.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«Абсолют Страхование»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2496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1"/>
              </w:rPr>
              <w:t>ООО «Абсолют Страхование»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Акционерное общество «Страховая компания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16.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>«Астро-Волга»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2619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3"/>
              </w:rPr>
              <w:t>АО «СК «Астро-Волга»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2"/>
              </w:rPr>
              <w:t>Акционерное общество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17.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4"/>
              </w:rPr>
              <w:t>«ГУТА-Страхование»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1820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6"/>
              </w:rPr>
              <w:t>АО «ГУТА-Страхование»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Общество с ограниченной ответственностью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</w:tcPr>
          <w:p>
            <w:pPr>
              <w:jc w:val="right"/>
              <w:ind w:right="2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3"/>
              </w:rPr>
              <w:t>18.</w:t>
            </w: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1"/>
              </w:rPr>
              <w:t>Страховая Компания «Гелиос»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0397</w:t>
            </w:r>
          </w:p>
        </w:tc>
      </w:tr>
      <w:tr>
        <w:trPr>
          <w:trHeight w:val="314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2"/>
              </w:rPr>
              <w:t>ООО Страховая Компания «Гелиос»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67310</wp:posOffset>
            </wp:positionH>
            <wp:positionV relativeFrom="paragraph">
              <wp:posOffset>-4004945</wp:posOffset>
            </wp:positionV>
            <wp:extent cx="6223000" cy="46545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65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Страхового публичного акционерного общества</w:t>
      </w:r>
    </w:p>
    <w:p>
      <w:pPr>
        <w:ind w:left="260"/>
        <w:spacing w:after="0"/>
        <w:tabs>
          <w:tab w:leader="none" w:pos="3120" w:val="left"/>
          <w:tab w:leader="none" w:pos="8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19.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«Ингосстрах»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0928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СПАО «Ингосстрах»</w:t>
      </w:r>
    </w:p>
    <w:p>
      <w:pPr>
        <w:sectPr>
          <w:pgSz w:w="11900" w:h="16837" w:orient="portrait"/>
          <w:cols w:equalWidth="0" w:num="1">
            <w:col w:w="9760"/>
          </w:cols>
          <w:pgMar w:left="1440" w:top="1127" w:right="706" w:bottom="49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9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</w:t>
      </w:r>
    </w:p>
    <w:sectPr>
      <w:pgSz w:w="11900" w:h="16837" w:orient="portrait"/>
      <w:cols w:equalWidth="0" w:num="1">
        <w:col w:w="9760"/>
      </w:cols>
      <w:pgMar w:left="1440" w:top="1127" w:right="706" w:bottom="49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№"/>
      <w:numFmt w:val="bullet"/>
      <w:start w:val="1"/>
    </w:lvl>
  </w:abstractNum>
  <w:abstractNum w:abstractNumId="1">
    <w:nsid w:val="238E1F29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46E87CCD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ООО"/>
      <w:numFmt w:val="bullet"/>
      <w:start w:val="1"/>
    </w:lvl>
  </w:abstractNum>
  <w:abstractNum w:abstractNumId="3">
    <w:nsid w:val="3D1B58BA"/>
    <w:multiLevelType w:val="hybridMultilevel"/>
    <w:lvl w:ilvl="0">
      <w:lvlJc w:val="left"/>
      <w:lvlText w:val="%1."/>
      <w:numFmt w:val="decimal"/>
      <w:start w:val="5"/>
    </w:lvl>
  </w:abstractNum>
  <w:abstractNum w:abstractNumId="4">
    <w:nsid w:val="507ED7AB"/>
    <w:multiLevelType w:val="hybridMultilevel"/>
    <w:lvl w:ilvl="0">
      <w:lvlJc w:val="left"/>
      <w:lvlText w:val="%1."/>
      <w:numFmt w:val="decimal"/>
      <w:start w:val="8"/>
    </w:lvl>
  </w:abstractNum>
  <w:abstractNum w:abstractNumId="5">
    <w:nsid w:val="2EB141F2"/>
    <w:multiLevelType w:val="hybridMultilevel"/>
    <w:lvl w:ilvl="0">
      <w:lvlJc w:val="left"/>
      <w:lvlText w:val="%1."/>
      <w:numFmt w:val="decimal"/>
      <w:start w:val="9"/>
    </w:lvl>
  </w:abstractNum>
  <w:abstractNum w:abstractNumId="6">
    <w:nsid w:val="41B71EFB"/>
    <w:multiLevelType w:val="hybridMultilevel"/>
    <w:lvl w:ilvl="0">
      <w:lvlJc w:val="left"/>
      <w:lvlText w:val="%1."/>
      <w:numFmt w:val="decimal"/>
      <w:start w:val="1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2021-08-09T11:02:22Z</dcterms:created>
  <dcterms:modified xsi:type="dcterms:W3CDTF">2021-08-09T11:02:22Z</dcterms:modified>
</cp:coreProperties>
</file>